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1"/>
        </w:numPr>
        <w:spacing w:line="360" w:lineRule="auto"/>
        <w:rPr>
          <w:rFonts w:hint="eastAsia" w:ascii="仿宋" w:hAnsi="仿宋" w:eastAsia="仿宋" w:cs="仿宋"/>
          <w:b w:val="0"/>
          <w:bCs w:val="0"/>
          <w:sz w:val="28"/>
          <w:szCs w:val="28"/>
          <w:lang w:val="en-US" w:eastAsia="zh-CN"/>
        </w:rPr>
      </w:pPr>
      <w:r>
        <w:rPr>
          <w:rFonts w:hint="eastAsia" w:ascii="仿宋" w:hAnsi="仿宋" w:eastAsia="仿宋" w:cs="仿宋"/>
          <w:b w:val="0"/>
          <w:bCs w:val="0"/>
          <w:color w:val="333333"/>
          <w:sz w:val="28"/>
          <w:szCs w:val="28"/>
        </w:rPr>
        <w:t>公益技术应用研究项目归并整合纳入探索项目，在探索一般和探索青年基础上，增设探索公益类</w:t>
      </w:r>
      <w:r>
        <w:rPr>
          <w:rFonts w:hint="eastAsia" w:ascii="仿宋" w:hAnsi="仿宋" w:eastAsia="仿宋" w:cs="仿宋"/>
          <w:b w:val="0"/>
          <w:bCs w:val="0"/>
          <w:color w:val="333333"/>
          <w:sz w:val="28"/>
          <w:szCs w:val="28"/>
          <w:lang w:eastAsia="zh-CN"/>
        </w:rPr>
        <w:t>。</w:t>
      </w:r>
    </w:p>
    <w:p>
      <w:pPr>
        <w:numPr>
          <w:ilvl w:val="0"/>
          <w:numId w:val="1"/>
        </w:numPr>
        <w:spacing w:line="360" w:lineRule="auto"/>
        <w:rPr>
          <w:rFonts w:hint="eastAsia" w:ascii="仿宋" w:hAnsi="仿宋" w:eastAsia="仿宋" w:cs="仿宋"/>
          <w:b w:val="0"/>
          <w:bCs w:val="0"/>
          <w:sz w:val="28"/>
          <w:szCs w:val="28"/>
          <w:lang w:val="en-US" w:eastAsia="zh-CN"/>
        </w:rPr>
      </w:pPr>
      <w:r>
        <w:rPr>
          <w:rFonts w:hint="eastAsia" w:ascii="仿宋" w:hAnsi="仿宋" w:eastAsia="仿宋" w:cs="仿宋"/>
          <w:b w:val="0"/>
          <w:bCs w:val="0"/>
          <w:color w:val="333333"/>
          <w:sz w:val="28"/>
          <w:szCs w:val="28"/>
          <w:lang w:val="en-US" w:eastAsia="zh-CN"/>
        </w:rPr>
        <w:t>探索公益类项目不单纯等同于往年公益项目，全部聚焦社会公益领域，加强应用研究和技术验证。取消原公益项目中的工业、国际合作领域项目，不设药学、管理学申请代码。原计划申报公益应用工业领域项目的老师请注意严格对照目前申报通知中相关领域进行申报，如无法对应相关领域 ，根据基金委通知精神，建议调整申报类型。</w:t>
      </w:r>
    </w:p>
    <w:p>
      <w:pPr>
        <w:numPr>
          <w:ilvl w:val="0"/>
          <w:numId w:val="1"/>
        </w:numPr>
        <w:spacing w:line="360" w:lineRule="auto"/>
        <w:rPr>
          <w:rFonts w:hint="eastAsia" w:ascii="仿宋" w:hAnsi="仿宋" w:eastAsia="仿宋" w:cs="仿宋"/>
          <w:b w:val="0"/>
          <w:bCs w:val="0"/>
          <w:sz w:val="28"/>
          <w:szCs w:val="28"/>
          <w:lang w:val="en-US" w:eastAsia="zh-CN"/>
        </w:rPr>
      </w:pPr>
      <w:r>
        <w:rPr>
          <w:rFonts w:hint="eastAsia" w:ascii="仿宋" w:hAnsi="仿宋" w:eastAsia="仿宋" w:cs="仿宋"/>
          <w:b w:val="0"/>
          <w:bCs w:val="0"/>
          <w:color w:val="333333"/>
          <w:sz w:val="28"/>
          <w:szCs w:val="28"/>
          <w:lang w:val="en-US" w:eastAsia="zh-CN"/>
        </w:rPr>
        <w:t>申报探索青年项目的申请人须1987年1月1日（其中女性放宽到1982年1月1日）以后出生。探索青年项目申报人要求无承担省部级及以上科研项目（包括外省、文科等项目）经历。</w:t>
      </w:r>
    </w:p>
    <w:p>
      <w:pPr>
        <w:numPr>
          <w:ilvl w:val="0"/>
          <w:numId w:val="1"/>
        </w:numPr>
        <w:spacing w:line="360" w:lineRule="auto"/>
        <w:rPr>
          <w:rFonts w:hint="eastAsia" w:ascii="仿宋" w:hAnsi="仿宋" w:eastAsia="仿宋" w:cs="仿宋"/>
          <w:b w:val="0"/>
          <w:bCs w:val="0"/>
          <w:sz w:val="28"/>
          <w:szCs w:val="28"/>
          <w:lang w:val="en-US" w:eastAsia="zh-CN"/>
        </w:rPr>
      </w:pPr>
      <w:r>
        <w:rPr>
          <w:rFonts w:hint="eastAsia" w:ascii="仿宋" w:hAnsi="仿宋" w:eastAsia="仿宋" w:cs="仿宋"/>
          <w:b w:val="0"/>
          <w:bCs w:val="0"/>
          <w:color w:val="333333"/>
          <w:sz w:val="28"/>
          <w:szCs w:val="28"/>
          <w:lang w:val="en-US" w:eastAsia="zh-CN"/>
        </w:rPr>
        <w:t>杰青项目、重大项目全面推行科研经费包干制，经费一次性拨付，取消中期检查环节。</w:t>
      </w:r>
    </w:p>
    <w:p>
      <w:pPr>
        <w:widowControl w:val="0"/>
        <w:numPr>
          <w:ilvl w:val="0"/>
          <w:numId w:val="0"/>
        </w:numPr>
        <w:spacing w:line="360" w:lineRule="auto"/>
        <w:jc w:val="both"/>
        <w:rPr>
          <w:rFonts w:hint="default" w:ascii="仿宋" w:hAnsi="仿宋" w:eastAsia="仿宋" w:cs="仿宋"/>
          <w:b w:val="0"/>
          <w:bCs w:val="0"/>
          <w:color w:val="333333"/>
          <w:sz w:val="28"/>
          <w:szCs w:val="28"/>
          <w:lang w:val="en-US" w:eastAsia="zh-CN"/>
        </w:rPr>
      </w:pPr>
      <w:r>
        <w:rPr>
          <w:rFonts w:hint="eastAsia" w:ascii="仿宋" w:hAnsi="仿宋" w:eastAsia="仿宋" w:cs="仿宋"/>
          <w:b w:val="0"/>
          <w:bCs w:val="0"/>
          <w:color w:val="333333"/>
          <w:sz w:val="28"/>
          <w:szCs w:val="28"/>
          <w:lang w:val="en-US" w:eastAsia="zh-CN"/>
        </w:rPr>
        <w:t>5.同一科研人员（作为项目负责人），同年度立项各类省级科技计划项目不超过1项；已承担在研省科技计划项目的，可再申请重大项目（创新群体）担任学术带头人、省杰青项目，其它类项目不可申请。</w:t>
      </w:r>
      <w:bookmarkStart w:id="0" w:name="_GoBack"/>
      <w:bookmarkEnd w:id="0"/>
    </w:p>
    <w:p>
      <w:pPr>
        <w:widowControl w:val="0"/>
        <w:numPr>
          <w:ilvl w:val="0"/>
          <w:numId w:val="0"/>
        </w:numPr>
        <w:spacing w:line="360" w:lineRule="auto"/>
        <w:jc w:val="both"/>
        <w:rPr>
          <w:rFonts w:hint="default" w:ascii="仿宋" w:hAnsi="仿宋" w:eastAsia="仿宋" w:cs="仿宋"/>
          <w:b w:val="0"/>
          <w:bCs w:val="0"/>
          <w:color w:val="333333"/>
          <w:sz w:val="28"/>
          <w:szCs w:val="28"/>
          <w:lang w:val="en-US" w:eastAsia="zh-CN"/>
        </w:rPr>
      </w:pPr>
      <w:r>
        <w:rPr>
          <w:rFonts w:hint="eastAsia" w:ascii="仿宋" w:hAnsi="仿宋" w:eastAsia="仿宋" w:cs="仿宋"/>
          <w:b w:val="0"/>
          <w:bCs w:val="0"/>
          <w:color w:val="333333"/>
          <w:sz w:val="28"/>
          <w:szCs w:val="28"/>
          <w:lang w:val="en-US" w:eastAsia="zh-CN"/>
        </w:rPr>
        <w:t>6.项目立项后，申请书中研究目标、研究内容、研究计划、预期研究成果等内容将直接作为研究计划书内容，请合理填报相关内容，避免验收时无法完成。</w:t>
      </w:r>
    </w:p>
    <w:p>
      <w:pPr>
        <w:widowControl w:val="0"/>
        <w:numPr>
          <w:ilvl w:val="0"/>
          <w:numId w:val="0"/>
        </w:numPr>
        <w:spacing w:line="360" w:lineRule="auto"/>
        <w:jc w:val="both"/>
        <w:rPr>
          <w:rFonts w:hint="eastAsia" w:ascii="仿宋" w:hAnsi="仿宋" w:eastAsia="仿宋" w:cs="仿宋"/>
          <w:b w:val="0"/>
          <w:bCs w:val="0"/>
          <w:color w:val="333333"/>
          <w:sz w:val="28"/>
          <w:szCs w:val="28"/>
          <w:lang w:val="en-US" w:eastAsia="zh-CN"/>
        </w:rPr>
      </w:pPr>
      <w:r>
        <w:rPr>
          <w:rFonts w:hint="eastAsia" w:ascii="仿宋" w:hAnsi="仿宋" w:eastAsia="仿宋" w:cs="仿宋"/>
          <w:b w:val="0"/>
          <w:bCs w:val="0"/>
          <w:color w:val="333333"/>
          <w:sz w:val="28"/>
          <w:szCs w:val="28"/>
          <w:lang w:val="en-US" w:eastAsia="zh-CN"/>
        </w:rPr>
        <w:t>7.杰青项目、探索青年项目无需填写项目组成员信息。</w:t>
      </w:r>
    </w:p>
    <w:p>
      <w:pPr>
        <w:widowControl w:val="0"/>
        <w:numPr>
          <w:ilvl w:val="0"/>
          <w:numId w:val="0"/>
        </w:numPr>
        <w:spacing w:line="360" w:lineRule="auto"/>
        <w:jc w:val="both"/>
        <w:rPr>
          <w:rFonts w:hint="default" w:ascii="仿宋" w:hAnsi="仿宋" w:eastAsia="仿宋" w:cs="仿宋"/>
          <w:b w:val="0"/>
          <w:bCs w:val="0"/>
          <w:color w:val="333333"/>
          <w:sz w:val="28"/>
          <w:szCs w:val="28"/>
          <w:lang w:val="en-US" w:eastAsia="zh-CN"/>
        </w:rPr>
      </w:pPr>
      <w:r>
        <w:rPr>
          <w:rFonts w:hint="eastAsia" w:ascii="仿宋" w:hAnsi="仿宋" w:eastAsia="仿宋" w:cs="仿宋"/>
          <w:b w:val="0"/>
          <w:bCs w:val="0"/>
          <w:color w:val="333333"/>
          <w:sz w:val="28"/>
          <w:szCs w:val="28"/>
          <w:lang w:val="en-US" w:eastAsia="zh-CN"/>
        </w:rPr>
        <w:t>8.重大、杰青、重点项目申请人必须有省部级及以上重大科研平台支撑，否则不能申报。</w:t>
      </w:r>
    </w:p>
    <w:p>
      <w:pPr>
        <w:widowControl w:val="0"/>
        <w:numPr>
          <w:ilvl w:val="0"/>
          <w:numId w:val="0"/>
        </w:numPr>
        <w:spacing w:line="360" w:lineRule="auto"/>
        <w:jc w:val="both"/>
        <w:rPr>
          <w:rFonts w:hint="eastAsia" w:ascii="仿宋" w:hAnsi="仿宋" w:eastAsia="仿宋" w:cs="仿宋"/>
          <w:b w:val="0"/>
          <w:bCs w:val="0"/>
          <w:color w:val="333333"/>
          <w:sz w:val="28"/>
          <w:szCs w:val="28"/>
          <w:lang w:val="en-US" w:eastAsia="zh-CN"/>
        </w:rPr>
      </w:pPr>
      <w:r>
        <w:rPr>
          <w:rFonts w:hint="eastAsia" w:ascii="仿宋" w:hAnsi="仿宋" w:eastAsia="仿宋" w:cs="仿宋"/>
          <w:b w:val="0"/>
          <w:bCs w:val="0"/>
          <w:color w:val="333333"/>
          <w:sz w:val="28"/>
          <w:szCs w:val="28"/>
          <w:lang w:val="en-US" w:eastAsia="zh-CN"/>
        </w:rPr>
        <w:t>9.项目组成员分为“会员成员”和“非会员成员”两类。非会员成员是指境外省外人员、省内非省依托单位人员、省依托单位不符合会员申请资格人员。符合项目组“会员成员”资格的科研人员，不得以“非会员成员”身份参与申报。申请人填写“会员成员”信息时，须输入各会员成员的“申请验证码”、身份证号码，申请验证码当年只能使用2次，请会员注意保管。</w:t>
      </w:r>
    </w:p>
    <w:p>
      <w:pPr>
        <w:widowControl w:val="0"/>
        <w:numPr>
          <w:ilvl w:val="0"/>
          <w:numId w:val="0"/>
        </w:numPr>
        <w:spacing w:line="360" w:lineRule="auto"/>
        <w:jc w:val="both"/>
        <w:rPr>
          <w:rFonts w:hint="eastAsia" w:ascii="仿宋" w:hAnsi="仿宋" w:eastAsia="仿宋" w:cs="仿宋"/>
          <w:b w:val="0"/>
          <w:bCs w:val="0"/>
          <w:color w:val="333333"/>
          <w:sz w:val="28"/>
          <w:szCs w:val="28"/>
          <w:lang w:val="en-US" w:eastAsia="zh-CN"/>
        </w:rPr>
      </w:pPr>
      <w:r>
        <w:rPr>
          <w:rFonts w:hint="eastAsia" w:ascii="仿宋" w:hAnsi="仿宋" w:eastAsia="仿宋" w:cs="仿宋"/>
          <w:b w:val="0"/>
          <w:bCs w:val="0"/>
          <w:color w:val="333333"/>
          <w:sz w:val="28"/>
          <w:szCs w:val="28"/>
          <w:lang w:val="en-US" w:eastAsia="zh-CN"/>
        </w:rPr>
        <w:t>10.探索项目中实验动物类项目我校无申报资格，请勿选择。</w:t>
      </w:r>
    </w:p>
    <w:p>
      <w:pPr>
        <w:widowControl w:val="0"/>
        <w:numPr>
          <w:ilvl w:val="0"/>
          <w:numId w:val="0"/>
        </w:numPr>
        <w:spacing w:line="360" w:lineRule="auto"/>
        <w:jc w:val="both"/>
        <w:rPr>
          <w:rFonts w:hint="default" w:ascii="仿宋" w:hAnsi="仿宋" w:eastAsia="仿宋" w:cs="仿宋"/>
          <w:b w:val="0"/>
          <w:bCs w:val="0"/>
          <w:color w:val="333333"/>
          <w:sz w:val="28"/>
          <w:szCs w:val="28"/>
          <w:lang w:val="en-US" w:eastAsia="zh-CN"/>
        </w:rPr>
      </w:pPr>
      <w:r>
        <w:rPr>
          <w:rFonts w:hint="eastAsia" w:ascii="仿宋" w:hAnsi="仿宋" w:eastAsia="仿宋" w:cs="仿宋"/>
          <w:b w:val="0"/>
          <w:bCs w:val="0"/>
          <w:color w:val="333333"/>
          <w:sz w:val="28"/>
          <w:szCs w:val="28"/>
          <w:lang w:val="en-US" w:eastAsia="zh-CN"/>
        </w:rPr>
        <w:t>11.务必重视科研诚信问题，申报要求签署个人科研诚信承诺书，所承诺内容要自觉遵守。基金委对所有项目申请书以及验收报告都将进行重复率检测。申请人不得用已获资助或同年已提交有关科研管理机构的项目申请书的主体内容申请省自然科学基金资助，比如国家自然科学基金项目、湖州市科技计划项目等。</w:t>
      </w:r>
    </w:p>
    <w:p>
      <w:pPr>
        <w:widowControl w:val="0"/>
        <w:numPr>
          <w:ilvl w:val="0"/>
          <w:numId w:val="0"/>
        </w:numPr>
        <w:spacing w:line="360" w:lineRule="auto"/>
        <w:jc w:val="both"/>
        <w:rPr>
          <w:rFonts w:hint="default" w:ascii="仿宋" w:hAnsi="仿宋" w:eastAsia="仿宋" w:cs="仿宋"/>
          <w:b w:val="0"/>
          <w:bCs w:val="0"/>
          <w:color w:val="333333"/>
          <w:sz w:val="28"/>
          <w:szCs w:val="28"/>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EB8E678"/>
    <w:multiLevelType w:val="singleLevel"/>
    <w:tmpl w:val="2EB8E678"/>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380BB8"/>
    <w:rsid w:val="08615959"/>
    <w:rsid w:val="26AE7495"/>
    <w:rsid w:val="36B00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2022-07-15T09:35:00Z</dcterms:created>
  <dc:creator>asus</dc:creator>
  <cp:lastModifiedBy>H&amp;H</cp:lastModifiedBy>
  <dcterms:modified xsi:type="dcterms:W3CDTF">2022-07-15T11:05:05Z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ies>
</file>