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浙江省科学技术厅 浙江省发展和改革委员会关于印发《浙江省重点实验室（工程技术研究中心）管理办法》的通知</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发布机构：浙江省科技厅   发布时间：2014-11-04</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ZJSP05-2014-0006</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浙科发条〔2014〕175号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各市、县（市、区）科技局（委）、发改委（局），各高等学校、科研院所，各有关单位：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为进一步规范和优化浙江省重点实验室和工程技术研究中心的管理工作，充分发挥其在技术创新体系建设中的核心作用，省科技厅会同省发改委对2008年制订出台的《浙江省省级重点实验室、试验基地建设与管理办法》（浙科发条〔2008〕313号）进行了修订，现将新修订的《浙江省重点实验室（工程技术研究中心）管理办法》印发给你们，请认真贯彻执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浙江省科学技术厅     浙江省发展和改革委员会</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2014年10月30日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浙江省科学技术厅办公室                      2014年10月30日印发</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浙江省重点实验室（工程技术研究中心）管理办法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第一章  总则</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第一条  为深入贯彻落实《浙江省科学技术进步条例》《中共浙江省委关于全面实施创新驱动发展战略加快建设创新型省份的决定》，进一步加强和规范省重点实验室（工程技术研究中心）的建设与管理，根据《国家重点实验室建设与运行管理办法》《国家工程技术研究中心暂行管理办法》，结</w:t>
      </w:r>
      <w:bookmarkStart w:id="0" w:name="_GoBack"/>
      <w:bookmarkEnd w:id="0"/>
      <w:r>
        <w:rPr>
          <w:rFonts w:hint="eastAsia"/>
          <w:color w:val="000000" w:themeColor="text1"/>
          <w:sz w:val="24"/>
          <w:szCs w:val="24"/>
          <w14:textFill>
            <w14:solidFill>
              <w14:schemeClr w14:val="tx1"/>
            </w14:solidFill>
          </w14:textFill>
        </w:rPr>
        <w:t>合我省实际，制定本办法。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第二条  重点实验室（工程技术研究中心）是组织开展基础研究和应用基础研究，集聚和培养优秀科研人才，开展高水平学术交流，推进科技成果转化应用，具备先进科研装备条件，能为经济社会发展提供科技支撑引领和服务的科研机构。</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重点实验室（工程技术研究中心）是我省科技创新体系的重要组成部分，也是我省实施创新驱动发展战略的重要载体。</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第三条  主要任务：</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（一）集聚整合创新要素。集聚整合依托单位、共建单位的创新资源，建立和完善有利于自主创新的组织机构、管理制度和运行机制，成为我省本领域科技创新要素的集聚基地。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（二）培养造就创新人才。注重引进和培养创新人才，营造有利于创新型人才成长的良好环境，建立一支结构合理的高水平科技创新人才队伍，成为科技创新的人才高地。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组织开展科技创新。针对科技发展前沿与我省经济、社会发展中的重大科技和关键、共性技术问题，开展原始创新、集成创新、协同创新等研发活动，支撑相关领域和行业技术进步，成为我省科技创新的先导基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（四）推进资源开放共享。面向社会实行对外开放，开展高层次、高水平的科技合作和交流，建立开放基金，加强公共科技服务功能，为广大科技人员开展科研活动提供条件，成为我省科技创新资源的共享基地。</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第四条  省重点实验室（工程技术研究中心）建设与管理遵循“优化结构、提升层次、强化优势、动态管理”的原则，实行人财物相对独立的管理机制。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第五条  省科学技术厅（以下简称省科技厅）、省发展和改革委员会（以下简称省发改委）、省财政厅根据各自职能负责省重点实验室（工程技术研究中心）的管理，日常工作由省科技厅负责。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（一）省科技厅负责组织编制全省重点实验室（工程技术研究中心）总体建设规划，明确布局原则、优先领域和政策措施等，牵头开展省重点实验室（工程技术研究中心）的认定、考核与评价等工作；</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（二）省发改委协同省科技厅审核建设方案，共同做好认定和相关管理工作；</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（三）省财政厅负责财政补助资金的预算审核与安排落实，监督检查预算执行和规范使用情况，协同做好认定和相关管理工作。</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第二章  申报与认定</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第六条  省重点实验室（工程技术研究中心）主要支持我省重点培育发展的战略性新兴产业和具有我省优势特色的学科领域，依托高校、科研院所和行业龙头骨干企业建设。</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 xml:space="preserve">省重点实验室（工程技术研究中心）的认定申报原则上每年组织一次，由省科技厅发布通知。申报省重点实验室（工程技术研究中心）应同时具备以下条件: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（一）应具备良好的科研实验条件，有相对集中的科研场地，面积在2000平方米以上，科研仪器设备原值达2000万元以上。</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（二）拥有高水平的学科、学术带头人和结构合理的科研队伍，拥有管理能力强的领导班子。专职科技人员应不少于30人，其中副高（含）以上职称或具有博士学位人员比例不低于总人数的60%。</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（三）具有相对集中的研究方向、科学合理的组织架构和规范有效的管理运行制度；有明确的目标定位和发展规划，能发挥学术引领作用，具备承担国家、省级重大科研任务和参与国际竞争的能力。</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（四）近三年未发生环保、安全、知识产权以及学术不端等不良行为。</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第七条  由依托单位填报相关申报材料，经省级主管部门或所在市、县（市、区）科技局（委）签署意见后报省科技厅。省属科研院所、高等院校和省属企业可直接向省科技厅申报。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第八条  省重点实验室名称应采用“浙江省+核心研究方向+重点实验室”（Key Laboratory of  XXX of Zhejiang Province）。省工程技术研究中心名称应采用“浙江省+核心研发方向+工程技术研究中心”（Engineering Research Center of ××of Zhejiang Province）。</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第九条  省科技厅按照申报条件对申报材料进行初审。根据初审结果，省科技厅会同省发改委组织专家进行实地考察和评审。</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第十条  实地考察和评审内容包括：</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（一）考察核实依托单位是否具备建设的基础和条件，主要包括现有专职科技人员、设备设施、研发场地和经费投入等；</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（二）建设目标和研究方向是否明确合理，是否符合我省经济社会发展重点，建设方案和主要任务是否切实可行；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（三）研究方向的研发能力和技术创新能力是否处于国内外先进水平或省内领先水平；</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（四）组织架构、管理制度和运行机制是否科学合理；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（五）依托单位财务状况、保障措施能否保证重点实验室（工程技术研究中心）的可持续运行。</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第十一条  省科技厅会同省发改委根据实地考察和评审结果，择优确定拟认定的省重点实验室（工程技术研究中心）名单，并在省科技厅门户网站或其他省级媒体公示7个工作日，公示期满无异议的，联合发文予以认定。</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第三章  运行与管理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第十二条  经认定的省重点实验室（工程技术研究中心）实行责任期管理制度，签订责任书。责任期为自认定之日起2年。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第十三条  省重点实验室（工程技术研究中心）及依托单位应根据本研究领域的发展趋势，结合省的重点工作，制定切实可行的中长期科技发展规划与年度工作计划。</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第十四条  省重点实验室（工程技术研究中心）要建立健全建设运行管理制度，制订包括学术委员会章程以及科研、仪器设备、财务、人才、知识产权、开放基金、安全等方面的管理制度。要加强开放交流，加强产学研合作，推广与应用创新方法，开展协同创新，形成创新成果，提供公共科技服务。</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依托单位要为省重点实验室（工程技术研究中心）提供建设和运行所需人才、资金、设备和场地等必要条件保障，协调解决建设与运行中的有关问题。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第十五条  省重点实验室（工程技术研究中心）实行主任负责制。主任由依托单位推荐与聘任，报省科技厅备案。人选应是本学科或本领域的学科带头人，具有良好的职业道德与较强的组织管理和协调能力，在省重点实验室（工程技术研究中心）工作时间每年不少于8个月，年龄不超过60周岁。每届任期一般为五年。</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第十六条  省重点实验室（工程技术研究中心）设立学术委员会，主要负责审议研究方向、发展规划、工作目标、年度工作计划、重大学术活动、开放研究课题，提供技术经济咨询等。</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学术委员会成员由国内外本领域专家组成，一般为7至11人（单数）组成，其中依托单位人员不超过三分之一。学术委员会主任及成员由依托单位聘任，报省科技厅备案。每届任期一般为五年，每次换届的调整人数应在三分之一以上。</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第十七条  实行重大事项报告制度。名称更名、研究方向变更等，应提出书面报告，提交学术委员会和相关学科专家论证。由依托单位审核并出具事项变更报告，报省科技厅核准。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第十八条  建立全过程管理的信息系统，加强对省重点实验室（工程技术研究中心）发展的统计、监测分析和综合评价。各省重点实验室（工程技术研究中心）应及时在信息系统中填报反映其建设、运行和管理等情况。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第十九条  在省重点实验室（工程技术研究中心）完成的专著、论文、软件、数据库等研究成果均应署实验室（工程中心）的名称。</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第四章  考核与评价</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第二十条  对2年责任期满的省重点实验室（工程技术研究中心），由省科技厅根据责任书内容组织对其进行考核。</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（一）考核结果分为“优秀、合格、不合格”三类。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（二）对考核不合格的，予以黄牌警告并责令其限期整改，整改后仍不合格的，撤销省重点实验室（工程技术研究中心）资格。</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第二十一条  责任期后，每三年组织一次评价工作。评价工作委托第三方评估机构，依据《浙江省重点实验室（工程技术研究中心）评价指标体系》（附件）进行综合评价，并实行优胜劣汰动态管理。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（一）评价结果分为“优秀、良好、合格、不合格”四类，并公布评价结果。</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（二）对评价结果为“优秀”的，给予后续经费支持，并优先支持申报（企业）国家重点实验室和国家工程技术研究中心。</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（三）对评价结果为“不合格”或排名倒数5%以内的，取消其省重点实验室（工程技术研究中心）资格。以后年度符合申报省重点实验室（工程技术研究中心）条件的，可重新申报。</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第二十二条  建立省重点实验室（工程技术研究中心）诚信制度与失信处理机制。提供材料不真实的单位，三年内不得申请认定；已被认定的，撤销其省重点实验室（工程技术研究中心）资格，三年内不得重新申请认定；对无故不完成责任书任务的，列入科技信用档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第五章  附则</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第二十三条  本办法自2014年12月1日起实施，原《浙江省省级重点实验室、试验基地建设与管理办法》（浙科发条〔2008〕313号）同时废止。本办法施行前已立项批准组建的省重点实验室（工程技术研究中心），按原合同要求进行验收，验收通过后，按本办法进行管理。</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第二十四条  本办法由省科技厅负责解释。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附件：浙江省重点实验室（工程技术研究中心）评价指标体系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方正黑体简体" w:hAnsi="黑体" w:eastAsia="方正黑体简体" w:cs="宋体"/>
          <w:color w:val="000000" w:themeColor="text1"/>
          <w:kern w:val="0"/>
          <w:sz w:val="28"/>
          <w:szCs w:val="28"/>
          <w14:textFill>
            <w14:solidFill>
              <w14:schemeClr w14:val="tx1"/>
            </w14:solidFill>
          </w14:textFill>
        </w:rPr>
      </w:pPr>
      <w:r>
        <w:rPr>
          <w:rFonts w:hint="eastAsia"/>
          <w:color w:val="000000" w:themeColor="text1"/>
          <w14:textFill>
            <w14:solidFill>
              <w14:schemeClr w14:val="tx1"/>
            </w14:solidFill>
          </w14:textFill>
        </w:rPr>
        <w:t xml:space="preserve"> </w:t>
      </w:r>
      <w:r>
        <w:rPr>
          <w:rFonts w:hint="eastAsia" w:ascii="方正小标宋简体" w:hAnsi="宋体" w:eastAsia="方正小标宋简体"/>
          <w:bCs/>
          <w:color w:val="000000" w:themeColor="text1"/>
          <w:sz w:val="28"/>
          <w:szCs w:val="28"/>
          <w14:textFill>
            <w14:solidFill>
              <w14:schemeClr w14:val="tx1"/>
            </w14:solidFill>
          </w14:textFill>
        </w:rPr>
        <w:t>浙江省重点实验室(工程技术研究中心)评价指标体系</w:t>
      </w:r>
    </w:p>
    <w:tbl>
      <w:tblPr>
        <w:tblStyle w:val="7"/>
        <w:tblW w:w="9470" w:type="dxa"/>
        <w:tblInd w:w="0" w:type="dxa"/>
        <w:tblLayout w:type="fixed"/>
        <w:tblCellMar>
          <w:top w:w="0" w:type="dxa"/>
          <w:left w:w="108" w:type="dxa"/>
          <w:bottom w:w="0" w:type="dxa"/>
          <w:right w:w="108" w:type="dxa"/>
        </w:tblCellMar>
      </w:tblPr>
      <w:tblGrid>
        <w:gridCol w:w="820"/>
        <w:gridCol w:w="1024"/>
        <w:gridCol w:w="2674"/>
        <w:gridCol w:w="426"/>
        <w:gridCol w:w="3746"/>
        <w:gridCol w:w="780"/>
      </w:tblGrid>
      <w:tr>
        <w:tblPrEx>
          <w:tblLayout w:type="fixed"/>
          <w:tblCellMar>
            <w:top w:w="0" w:type="dxa"/>
            <w:left w:w="108" w:type="dxa"/>
            <w:bottom w:w="0" w:type="dxa"/>
            <w:right w:w="108" w:type="dxa"/>
          </w:tblCellMar>
        </w:tblPrEx>
        <w:trPr>
          <w:trHeight w:val="572" w:hRule="atLeast"/>
          <w:tblHeader/>
        </w:trPr>
        <w:tc>
          <w:tcPr>
            <w:tcW w:w="820" w:type="dxa"/>
            <w:tcBorders>
              <w:top w:val="single" w:color="auto" w:sz="4" w:space="0"/>
              <w:left w:val="single" w:color="auto" w:sz="4" w:space="0"/>
              <w:bottom w:val="single" w:color="auto" w:sz="4" w:space="0"/>
              <w:right w:val="single" w:color="auto" w:sz="4" w:space="0"/>
            </w:tcBorders>
            <w:shd w:val="clear" w:color="auto" w:fill="F3F3F3"/>
            <w:vAlign w:val="center"/>
          </w:tcPr>
          <w:p>
            <w:pPr>
              <w:widowControl/>
              <w:jc w:val="both"/>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一级指标</w:t>
            </w:r>
          </w:p>
        </w:tc>
        <w:tc>
          <w:tcPr>
            <w:tcW w:w="1024" w:type="dxa"/>
            <w:tcBorders>
              <w:top w:val="single" w:color="auto" w:sz="4" w:space="0"/>
              <w:left w:val="nil"/>
              <w:bottom w:val="single" w:color="auto" w:sz="4" w:space="0"/>
              <w:right w:val="single" w:color="auto" w:sz="4" w:space="0"/>
            </w:tcBorders>
            <w:shd w:val="clear" w:color="auto" w:fill="F3F3F3"/>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二级指标</w:t>
            </w:r>
          </w:p>
        </w:tc>
        <w:tc>
          <w:tcPr>
            <w:tcW w:w="2674" w:type="dxa"/>
            <w:tcBorders>
              <w:top w:val="single" w:color="auto" w:sz="4" w:space="0"/>
              <w:left w:val="nil"/>
              <w:bottom w:val="single" w:color="auto" w:sz="4" w:space="0"/>
              <w:right w:val="single" w:color="auto" w:sz="4" w:space="0"/>
            </w:tcBorders>
            <w:shd w:val="clear" w:color="auto" w:fill="F3F3F3"/>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三级指标</w:t>
            </w:r>
          </w:p>
        </w:tc>
        <w:tc>
          <w:tcPr>
            <w:tcW w:w="426" w:type="dxa"/>
            <w:tcBorders>
              <w:top w:val="single" w:color="auto" w:sz="4" w:space="0"/>
              <w:left w:val="nil"/>
              <w:bottom w:val="single" w:color="auto" w:sz="4" w:space="0"/>
              <w:right w:val="single" w:color="auto" w:sz="4" w:space="0"/>
            </w:tcBorders>
            <w:shd w:val="clear" w:color="auto" w:fill="F3F3F3"/>
            <w:vAlign w:val="center"/>
          </w:tcPr>
          <w:p>
            <w:pPr>
              <w:widowControl/>
              <w:ind w:left="-105" w:leftChars="-50" w:right="-105" w:rightChars="-50"/>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单位</w:t>
            </w:r>
          </w:p>
        </w:tc>
        <w:tc>
          <w:tcPr>
            <w:tcW w:w="3746" w:type="dxa"/>
            <w:tcBorders>
              <w:top w:val="single" w:color="auto" w:sz="4" w:space="0"/>
              <w:left w:val="nil"/>
              <w:bottom w:val="single" w:color="auto" w:sz="4" w:space="0"/>
              <w:right w:val="single" w:color="auto" w:sz="4" w:space="0"/>
            </w:tcBorders>
            <w:shd w:val="clear" w:color="auto" w:fill="F3F3F3"/>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评价标准</w:t>
            </w:r>
          </w:p>
        </w:tc>
        <w:tc>
          <w:tcPr>
            <w:tcW w:w="780" w:type="dxa"/>
            <w:tcBorders>
              <w:top w:val="single" w:color="auto" w:sz="4" w:space="0"/>
              <w:left w:val="nil"/>
              <w:bottom w:val="single" w:color="auto" w:sz="4" w:space="0"/>
              <w:right w:val="single" w:color="auto" w:sz="4" w:space="0"/>
            </w:tcBorders>
            <w:shd w:val="clear" w:color="auto" w:fill="F3F3F3"/>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分值</w:t>
            </w:r>
          </w:p>
        </w:tc>
      </w:tr>
      <w:tr>
        <w:tblPrEx>
          <w:tblLayout w:type="fixed"/>
          <w:tblCellMar>
            <w:top w:w="0" w:type="dxa"/>
            <w:left w:w="108" w:type="dxa"/>
            <w:bottom w:w="0" w:type="dxa"/>
            <w:right w:w="108" w:type="dxa"/>
          </w:tblCellMar>
        </w:tblPrEx>
        <w:trPr>
          <w:trHeight w:val="223" w:hRule="atLeast"/>
        </w:trPr>
        <w:tc>
          <w:tcPr>
            <w:tcW w:w="820" w:type="dxa"/>
            <w:vMerge w:val="restart"/>
            <w:tcBorders>
              <w:top w:val="nil"/>
              <w:left w:val="single" w:color="auto" w:sz="4" w:space="0"/>
              <w:right w:val="single" w:color="auto" w:sz="4" w:space="0"/>
            </w:tcBorders>
            <w:vAlign w:val="center"/>
          </w:tcPr>
          <w:p>
            <w:pPr>
              <w:widowControl/>
              <w:jc w:val="left"/>
              <w:rPr>
                <w:rFonts w:ascii="宋体" w:hAnsi="宋体" w:cs="宋体"/>
                <w:b/>
                <w:color w:val="000000" w:themeColor="text1"/>
                <w:kern w:val="0"/>
                <w:sz w:val="20"/>
                <w:szCs w:val="20"/>
                <w14:textFill>
                  <w14:solidFill>
                    <w14:schemeClr w14:val="tx1"/>
                  </w14:solidFill>
                </w14:textFill>
              </w:rPr>
            </w:pPr>
            <w:r>
              <w:rPr>
                <w:rFonts w:hint="eastAsia" w:ascii="宋体" w:hAnsi="宋体" w:cs="宋体"/>
                <w:b/>
                <w:color w:val="000000" w:themeColor="text1"/>
                <w:kern w:val="0"/>
                <w:sz w:val="20"/>
                <w:szCs w:val="20"/>
                <w14:textFill>
                  <w14:solidFill>
                    <w14:schemeClr w14:val="tx1"/>
                  </w14:solidFill>
                </w14:textFill>
              </w:rPr>
              <w:t>一 人才培养与条件建设</w:t>
            </w:r>
          </w:p>
        </w:tc>
        <w:tc>
          <w:tcPr>
            <w:tcW w:w="1024"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1.人才培养（10分）</w:t>
            </w:r>
          </w:p>
        </w:tc>
        <w:tc>
          <w:tcPr>
            <w:tcW w:w="2674"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专职科技人员规模（2分）</w:t>
            </w:r>
          </w:p>
        </w:tc>
        <w:tc>
          <w:tcPr>
            <w:tcW w:w="42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人</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≥30人</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1-2</w:t>
            </w:r>
          </w:p>
        </w:tc>
      </w:tr>
      <w:tr>
        <w:tblPrEx>
          <w:tblLayout w:type="fixed"/>
          <w:tblCellMar>
            <w:top w:w="0" w:type="dxa"/>
            <w:left w:w="108" w:type="dxa"/>
            <w:bottom w:w="0" w:type="dxa"/>
            <w:right w:w="108" w:type="dxa"/>
          </w:tblCellMar>
        </w:tblPrEx>
        <w:trPr>
          <w:trHeight w:val="41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＜30人</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w:t>
            </w:r>
          </w:p>
        </w:tc>
      </w:tr>
      <w:tr>
        <w:tblPrEx>
          <w:tblLayout w:type="fixed"/>
          <w:tblCellMar>
            <w:top w:w="0" w:type="dxa"/>
            <w:left w:w="108" w:type="dxa"/>
            <w:bottom w:w="0" w:type="dxa"/>
            <w:right w:w="108" w:type="dxa"/>
          </w:tblCellMar>
        </w:tblPrEx>
        <w:trPr>
          <w:trHeight w:val="316"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restart"/>
            <w:tcBorders>
              <w:top w:val="nil"/>
              <w:left w:val="single" w:color="auto" w:sz="4" w:space="0"/>
              <w:bottom w:val="single" w:color="auto" w:sz="4" w:space="0"/>
              <w:right w:val="single" w:color="auto" w:sz="4" w:space="0"/>
            </w:tcBorders>
            <w:vAlign w:val="center"/>
          </w:tcPr>
          <w:p>
            <w:pPr>
              <w:widowControl/>
              <w:ind w:right="-53" w:rightChars="-25"/>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拥有副高以上职称或具有博士学位人员人数占总人数的比例（2分）</w:t>
            </w:r>
          </w:p>
        </w:tc>
        <w:tc>
          <w:tcPr>
            <w:tcW w:w="42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比例≥60%</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1-2</w:t>
            </w:r>
          </w:p>
        </w:tc>
      </w:tr>
      <w:tr>
        <w:tblPrEx>
          <w:tblLayout w:type="fixed"/>
          <w:tblCellMar>
            <w:top w:w="0" w:type="dxa"/>
            <w:left w:w="108" w:type="dxa"/>
            <w:bottom w:w="0" w:type="dxa"/>
            <w:right w:w="108" w:type="dxa"/>
          </w:tblCellMar>
        </w:tblPrEx>
        <w:trPr>
          <w:trHeight w:val="592"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比例＜60%</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w:t>
            </w:r>
          </w:p>
        </w:tc>
      </w:tr>
      <w:tr>
        <w:tblPrEx>
          <w:tblLayout w:type="fixed"/>
          <w:tblCellMar>
            <w:top w:w="0" w:type="dxa"/>
            <w:left w:w="108" w:type="dxa"/>
            <w:bottom w:w="0" w:type="dxa"/>
            <w:right w:w="108" w:type="dxa"/>
          </w:tblCellMar>
        </w:tblPrEx>
        <w:trPr>
          <w:trHeight w:val="1698"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tcBorders>
              <w:top w:val="nil"/>
              <w:left w:val="nil"/>
              <w:bottom w:val="single" w:color="auto" w:sz="4" w:space="0"/>
              <w:right w:val="single" w:color="auto" w:sz="4" w:space="0"/>
            </w:tcBorders>
            <w:vAlign w:val="center"/>
          </w:tcPr>
          <w:p>
            <w:pPr>
              <w:widowControl/>
              <w:spacing w:line="280" w:lineRule="exact"/>
              <w:ind w:left="-53" w:leftChars="-25" w:right="-105" w:rightChars="-50"/>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三年来培养(或引进)高层次人才(新世纪百千万人才工程国家级人选、省151人才工程、浙江省有突出贡献中青年专家或同等级别)人数（6分）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人</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xml:space="preserve">每培养(或引进)1名国家级人才得2分；每培养(或引进)1名省级人才得1分；累计不超过6分 </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0-6</w:t>
            </w:r>
          </w:p>
        </w:tc>
      </w:tr>
      <w:tr>
        <w:tblPrEx>
          <w:tblLayout w:type="fixed"/>
          <w:tblCellMar>
            <w:top w:w="0" w:type="dxa"/>
            <w:left w:w="108" w:type="dxa"/>
            <w:bottom w:w="0" w:type="dxa"/>
            <w:right w:w="108" w:type="dxa"/>
          </w:tblCellMar>
        </w:tblPrEx>
        <w:trPr>
          <w:trHeight w:val="22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2.条件建设（5分）</w:t>
            </w:r>
          </w:p>
        </w:tc>
        <w:tc>
          <w:tcPr>
            <w:tcW w:w="2674"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场地建筑面积（2分）</w:t>
            </w:r>
          </w:p>
        </w:tc>
        <w:tc>
          <w:tcPr>
            <w:tcW w:w="42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≥2000平方米</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1-2</w:t>
            </w:r>
          </w:p>
        </w:tc>
      </w:tr>
      <w:tr>
        <w:tblPrEx>
          <w:tblLayout w:type="fixed"/>
          <w:tblCellMar>
            <w:top w:w="0" w:type="dxa"/>
            <w:left w:w="108" w:type="dxa"/>
            <w:bottom w:w="0" w:type="dxa"/>
            <w:right w:w="108" w:type="dxa"/>
          </w:tblCellMar>
        </w:tblPrEx>
        <w:trPr>
          <w:trHeight w:val="375"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＜2000平方米</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w:t>
            </w:r>
          </w:p>
        </w:tc>
      </w:tr>
      <w:tr>
        <w:tblPrEx>
          <w:tblLayout w:type="fixed"/>
          <w:tblCellMar>
            <w:top w:w="0" w:type="dxa"/>
            <w:left w:w="108" w:type="dxa"/>
            <w:bottom w:w="0" w:type="dxa"/>
            <w:right w:w="108" w:type="dxa"/>
          </w:tblCellMar>
        </w:tblPrEx>
        <w:trPr>
          <w:trHeight w:val="22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restart"/>
            <w:tcBorders>
              <w:top w:val="nil"/>
              <w:left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仪器设备及试验装置资产原值（3分）</w:t>
            </w:r>
          </w:p>
        </w:tc>
        <w:tc>
          <w:tcPr>
            <w:tcW w:w="426" w:type="dxa"/>
            <w:vMerge w:val="restart"/>
            <w:tcBorders>
              <w:top w:val="nil"/>
              <w:left w:val="single" w:color="auto" w:sz="4" w:space="0"/>
              <w:right w:val="single" w:color="auto" w:sz="4" w:space="0"/>
            </w:tcBorders>
            <w:vAlign w:val="center"/>
          </w:tcPr>
          <w:p>
            <w:pPr>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万元</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≥2000万元</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1-3</w:t>
            </w:r>
          </w:p>
        </w:tc>
      </w:tr>
      <w:tr>
        <w:tblPrEx>
          <w:tblLayout w:type="fixed"/>
          <w:tblCellMar>
            <w:top w:w="0" w:type="dxa"/>
            <w:left w:w="108" w:type="dxa"/>
            <w:bottom w:w="0" w:type="dxa"/>
            <w:right w:w="108" w:type="dxa"/>
          </w:tblCellMar>
        </w:tblPrEx>
        <w:trPr>
          <w:trHeight w:val="22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＜2000万元</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w:t>
            </w:r>
          </w:p>
        </w:tc>
      </w:tr>
      <w:tr>
        <w:tblPrEx>
          <w:tblLayout w:type="fixed"/>
          <w:tblCellMar>
            <w:top w:w="0" w:type="dxa"/>
            <w:left w:w="108" w:type="dxa"/>
            <w:bottom w:w="0" w:type="dxa"/>
            <w:right w:w="108" w:type="dxa"/>
          </w:tblCellMar>
        </w:tblPrEx>
        <w:trPr>
          <w:trHeight w:val="37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restart"/>
            <w:tcBorders>
              <w:top w:val="nil"/>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3.运行管理（5分）</w:t>
            </w:r>
          </w:p>
        </w:tc>
        <w:tc>
          <w:tcPr>
            <w:tcW w:w="2674" w:type="dxa"/>
            <w:vMerge w:val="restart"/>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组织架构、制度建设、运行管理等工作情况（5分）</w:t>
            </w:r>
          </w:p>
        </w:tc>
        <w:tc>
          <w:tcPr>
            <w:tcW w:w="426" w:type="dxa"/>
            <w:vMerge w:val="restart"/>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制度健全，运行规范</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4-5</w:t>
            </w:r>
          </w:p>
        </w:tc>
      </w:tr>
      <w:tr>
        <w:tblPrEx>
          <w:tblLayout w:type="fixed"/>
          <w:tblCellMar>
            <w:top w:w="0" w:type="dxa"/>
            <w:left w:w="108" w:type="dxa"/>
            <w:bottom w:w="0" w:type="dxa"/>
            <w:right w:w="108" w:type="dxa"/>
          </w:tblCellMar>
        </w:tblPrEx>
        <w:trPr>
          <w:trHeight w:val="391"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制度基本健全，运行较为规范</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2-3</w:t>
            </w:r>
          </w:p>
        </w:tc>
      </w:tr>
      <w:tr>
        <w:tblPrEx>
          <w:tblLayout w:type="fixed"/>
          <w:tblCellMar>
            <w:top w:w="0" w:type="dxa"/>
            <w:left w:w="108" w:type="dxa"/>
            <w:bottom w:w="0" w:type="dxa"/>
            <w:right w:w="108" w:type="dxa"/>
          </w:tblCellMar>
        </w:tblPrEx>
        <w:trPr>
          <w:trHeight w:val="379" w:hRule="atLeast"/>
        </w:trPr>
        <w:tc>
          <w:tcPr>
            <w:tcW w:w="820"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制度不够健全，运行不够规范</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0-1</w:t>
            </w:r>
          </w:p>
        </w:tc>
      </w:tr>
      <w:tr>
        <w:tblPrEx>
          <w:tblLayout w:type="fixed"/>
          <w:tblCellMar>
            <w:top w:w="0" w:type="dxa"/>
            <w:left w:w="108" w:type="dxa"/>
            <w:bottom w:w="0" w:type="dxa"/>
            <w:right w:w="108" w:type="dxa"/>
          </w:tblCellMar>
        </w:tblPrEx>
        <w:trPr>
          <w:trHeight w:val="1598" w:hRule="atLeast"/>
        </w:trPr>
        <w:tc>
          <w:tcPr>
            <w:tcW w:w="820"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b/>
                <w:color w:val="000000" w:themeColor="text1"/>
                <w:kern w:val="0"/>
                <w:sz w:val="20"/>
                <w:szCs w:val="20"/>
                <w14:textFill>
                  <w14:solidFill>
                    <w14:schemeClr w14:val="tx1"/>
                  </w14:solidFill>
                </w14:textFill>
              </w:rPr>
            </w:pPr>
            <w:r>
              <w:rPr>
                <w:rFonts w:hint="eastAsia" w:ascii="宋体" w:hAnsi="宋体" w:cs="宋体"/>
                <w:b/>
                <w:color w:val="000000" w:themeColor="text1"/>
                <w:kern w:val="0"/>
                <w:sz w:val="20"/>
                <w:szCs w:val="20"/>
                <w14:textFill>
                  <w14:solidFill>
                    <w14:schemeClr w14:val="tx1"/>
                  </w14:solidFill>
                </w14:textFill>
              </w:rPr>
              <w:t>二 科研活动与创新成果</w:t>
            </w:r>
          </w:p>
        </w:tc>
        <w:tc>
          <w:tcPr>
            <w:tcW w:w="102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4.承担课题（8分）</w:t>
            </w:r>
          </w:p>
        </w:tc>
        <w:tc>
          <w:tcPr>
            <w:tcW w:w="2674" w:type="dxa"/>
            <w:tcBorders>
              <w:top w:val="nil"/>
              <w:left w:val="nil"/>
              <w:bottom w:val="single" w:color="auto" w:sz="4" w:space="0"/>
              <w:right w:val="single" w:color="auto" w:sz="4" w:space="0"/>
            </w:tcBorders>
            <w:vAlign w:val="center"/>
          </w:tcPr>
          <w:p>
            <w:pPr>
              <w:widowControl/>
              <w:spacing w:line="280" w:lineRule="exact"/>
              <w:ind w:left="-73" w:leftChars="-35" w:right="-73" w:rightChars="-35"/>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三年内承担国家级课题(863计划、973计划、国家自然科学基金、国家科技支撑计划项目等)与省部级课题数量（8分）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项</w:t>
            </w:r>
          </w:p>
        </w:tc>
        <w:tc>
          <w:tcPr>
            <w:tcW w:w="3746" w:type="dxa"/>
            <w:tcBorders>
              <w:top w:val="nil"/>
              <w:left w:val="nil"/>
              <w:bottom w:val="single" w:color="auto" w:sz="4" w:space="0"/>
              <w:right w:val="single" w:color="auto" w:sz="4" w:space="0"/>
            </w:tcBorders>
            <w:vAlign w:val="center"/>
          </w:tcPr>
          <w:p>
            <w:pPr>
              <w:widowControl/>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每承担1个973计划课题得2分，其他国家级课题得1分，每主持承担1个省部级课题得0.5分；累计不超过8分</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0-8</w:t>
            </w:r>
          </w:p>
        </w:tc>
      </w:tr>
      <w:tr>
        <w:tblPrEx>
          <w:tblLayout w:type="fixed"/>
          <w:tblCellMar>
            <w:top w:w="0" w:type="dxa"/>
            <w:left w:w="108" w:type="dxa"/>
            <w:bottom w:w="0" w:type="dxa"/>
            <w:right w:w="108" w:type="dxa"/>
          </w:tblCellMar>
        </w:tblPrEx>
        <w:trPr>
          <w:trHeight w:val="2313" w:hRule="atLeast"/>
        </w:trPr>
        <w:tc>
          <w:tcPr>
            <w:tcW w:w="8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5.论文专著（5分）▲</w:t>
            </w:r>
          </w:p>
        </w:tc>
        <w:tc>
          <w:tcPr>
            <w:tcW w:w="2674" w:type="dxa"/>
            <w:tcBorders>
              <w:top w:val="nil"/>
              <w:left w:val="nil"/>
              <w:bottom w:val="single" w:color="auto" w:sz="4" w:space="0"/>
              <w:right w:val="single" w:color="auto" w:sz="4" w:space="0"/>
            </w:tcBorders>
            <w:vAlign w:val="center"/>
          </w:tcPr>
          <w:p>
            <w:pPr>
              <w:widowControl/>
              <w:spacing w:line="280" w:lineRule="exact"/>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三年内在国际和国家权威期刊发表论文和被SCI/SSCI/EI收录论文数量，及出版的专著数量（5分）</w:t>
            </w:r>
          </w:p>
        </w:tc>
        <w:tc>
          <w:tcPr>
            <w:tcW w:w="426" w:type="dxa"/>
            <w:tcBorders>
              <w:top w:val="nil"/>
              <w:left w:val="nil"/>
              <w:bottom w:val="single" w:color="auto" w:sz="4" w:space="0"/>
              <w:right w:val="single" w:color="auto" w:sz="4" w:space="0"/>
            </w:tcBorders>
            <w:vAlign w:val="center"/>
          </w:tcPr>
          <w:p>
            <w:pPr>
              <w:widowControl/>
              <w:spacing w:line="280" w:lineRule="exact"/>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篇</w:t>
            </w:r>
          </w:p>
        </w:tc>
        <w:tc>
          <w:tcPr>
            <w:tcW w:w="3746" w:type="dxa"/>
            <w:tcBorders>
              <w:top w:val="nil"/>
              <w:left w:val="nil"/>
              <w:bottom w:val="single" w:color="auto" w:sz="4" w:space="0"/>
              <w:right w:val="single" w:color="auto" w:sz="4" w:space="0"/>
            </w:tcBorders>
            <w:vAlign w:val="center"/>
          </w:tcPr>
          <w:p>
            <w:pPr>
              <w:widowControl/>
              <w:spacing w:line="280" w:lineRule="exac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在《自然》(Nature)、《科学》(Science)上以第一、第二作者或通讯作者发表论文，得3分；在其他国际权威期刊(top10)发表论文，每篇得1分；被SCI/SSCI和 EI收录论文，每篇得0.25分；在国家核心期刊上发表论文，每篇得0.05分；每出版1部专著得0.5分；累计不超过5分</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0-5</w:t>
            </w:r>
          </w:p>
        </w:tc>
      </w:tr>
      <w:tr>
        <w:tblPrEx>
          <w:tblLayout w:type="fixed"/>
          <w:tblCellMar>
            <w:top w:w="0" w:type="dxa"/>
            <w:left w:w="108" w:type="dxa"/>
            <w:bottom w:w="0" w:type="dxa"/>
            <w:right w:w="108" w:type="dxa"/>
          </w:tblCellMar>
        </w:tblPrEx>
        <w:trPr>
          <w:trHeight w:val="710" w:hRule="atLeast"/>
        </w:trPr>
        <w:tc>
          <w:tcPr>
            <w:tcW w:w="8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6.科技奖励（10分）</w:t>
            </w:r>
          </w:p>
        </w:tc>
        <w:tc>
          <w:tcPr>
            <w:tcW w:w="267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三年内获得的省部级以上科技奖数量（10分）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项</w:t>
            </w:r>
          </w:p>
        </w:tc>
        <w:tc>
          <w:tcPr>
            <w:tcW w:w="3746" w:type="dxa"/>
            <w:tcBorders>
              <w:top w:val="nil"/>
              <w:left w:val="nil"/>
              <w:bottom w:val="single" w:color="auto" w:sz="4" w:space="0"/>
              <w:right w:val="single" w:color="auto" w:sz="4" w:space="0"/>
            </w:tcBorders>
            <w:vAlign w:val="center"/>
          </w:tcPr>
          <w:p>
            <w:pPr>
              <w:widowControl/>
              <w:spacing w:line="280" w:lineRule="exact"/>
              <w:ind w:left="-53" w:leftChars="-25" w:right="-53" w:rightChars="-25"/>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作为第一承担单位，每获得1项国家级科技一等奖得10分，每获得1项国家级科技二等奖得5分；每获得1项省部级科技一等奖得4分，每获得1项省部级科技二等奖得2分，每获得1项省部级科技三等奖得1分；累计不超过10分。排名第二、三的承担单位按50%计算。</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0-10</w:t>
            </w:r>
          </w:p>
        </w:tc>
      </w:tr>
      <w:tr>
        <w:tblPrEx>
          <w:tblLayout w:type="fixed"/>
          <w:tblCellMar>
            <w:top w:w="0" w:type="dxa"/>
            <w:left w:w="108" w:type="dxa"/>
            <w:bottom w:w="0" w:type="dxa"/>
            <w:right w:w="108" w:type="dxa"/>
          </w:tblCellMar>
        </w:tblPrEx>
        <w:trPr>
          <w:trHeight w:val="710" w:hRule="atLeast"/>
        </w:trPr>
        <w:tc>
          <w:tcPr>
            <w:tcW w:w="8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7.知识产权（10分）</w:t>
            </w:r>
          </w:p>
        </w:tc>
        <w:tc>
          <w:tcPr>
            <w:tcW w:w="267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三年内已获授权的发明专利(或计算机软件著作权及经认定的农业新品种、取得临床新药批文)数量（10分）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件/项</w:t>
            </w:r>
          </w:p>
        </w:tc>
        <w:tc>
          <w:tcPr>
            <w:tcW w:w="3746" w:type="dxa"/>
            <w:tcBorders>
              <w:top w:val="nil"/>
              <w:left w:val="nil"/>
              <w:bottom w:val="single" w:color="auto" w:sz="4" w:space="0"/>
              <w:right w:val="single" w:color="auto" w:sz="4" w:space="0"/>
            </w:tcBorders>
            <w:vAlign w:val="center"/>
          </w:tcPr>
          <w:p>
            <w:pPr>
              <w:widowControl/>
              <w:spacing w:line="280" w:lineRule="exact"/>
              <w:ind w:left="-53" w:leftChars="-25" w:right="-53" w:rightChars="-25"/>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 xml:space="preserve">每获得1项临床新药批文得1分，每获得1件发明专利授权得0.5分，每获得软件著作权或经认定的农业新品种1项得0.25分；累计不超过10分 </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0-10</w:t>
            </w:r>
          </w:p>
        </w:tc>
      </w:tr>
      <w:tr>
        <w:tblPrEx>
          <w:tblLayout w:type="fixed"/>
          <w:tblCellMar>
            <w:top w:w="0" w:type="dxa"/>
            <w:left w:w="108" w:type="dxa"/>
            <w:bottom w:w="0" w:type="dxa"/>
            <w:right w:w="108" w:type="dxa"/>
          </w:tblCellMar>
        </w:tblPrEx>
        <w:trPr>
          <w:trHeight w:val="1530" w:hRule="atLeast"/>
        </w:trPr>
        <w:tc>
          <w:tcPr>
            <w:tcW w:w="8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8.标准制定（7分）</w:t>
            </w:r>
          </w:p>
        </w:tc>
        <w:tc>
          <w:tcPr>
            <w:tcW w:w="267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三年内作为牵头单位主持制定国际、国家、行业标准的数量（7分）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项</w:t>
            </w:r>
          </w:p>
        </w:tc>
        <w:tc>
          <w:tcPr>
            <w:tcW w:w="3746" w:type="dxa"/>
            <w:tcBorders>
              <w:top w:val="nil"/>
              <w:left w:val="nil"/>
              <w:bottom w:val="single" w:color="auto" w:sz="4" w:space="0"/>
              <w:right w:val="single" w:color="auto" w:sz="4" w:space="0"/>
            </w:tcBorders>
            <w:vAlign w:val="center"/>
          </w:tcPr>
          <w:p>
            <w:pPr>
              <w:widowControl/>
              <w:spacing w:line="280" w:lineRule="exact"/>
              <w:ind w:left="-53" w:leftChars="-25" w:right="-53" w:rightChars="-25"/>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作为牵头单位，每主持制定1项实施的国际标准得5分；每主持制定1项实施的国家标准得3分；每主持制定1项实施的行业标准得2分；参与标准制定不计算在内；累计不超过7分</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0-7</w:t>
            </w:r>
          </w:p>
        </w:tc>
      </w:tr>
      <w:tr>
        <w:tblPrEx>
          <w:tblLayout w:type="fixed"/>
          <w:tblCellMar>
            <w:top w:w="0" w:type="dxa"/>
            <w:left w:w="108" w:type="dxa"/>
            <w:bottom w:w="0" w:type="dxa"/>
            <w:right w:w="108" w:type="dxa"/>
          </w:tblCellMar>
        </w:tblPrEx>
        <w:trPr>
          <w:trHeight w:val="1371" w:hRule="atLeast"/>
        </w:trPr>
        <w:tc>
          <w:tcPr>
            <w:tcW w:w="8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9. 开放合作课题（5分）</w:t>
            </w:r>
          </w:p>
        </w:tc>
        <w:tc>
          <w:tcPr>
            <w:tcW w:w="2674" w:type="dxa"/>
            <w:tcBorders>
              <w:top w:val="nil"/>
              <w:left w:val="nil"/>
              <w:bottom w:val="single" w:color="auto" w:sz="4" w:space="0"/>
              <w:right w:val="single" w:color="auto" w:sz="4" w:space="0"/>
            </w:tcBorders>
            <w:vAlign w:val="center"/>
          </w:tcPr>
          <w:p>
            <w:pPr>
              <w:widowControl/>
              <w:spacing w:line="280" w:lineRule="exact"/>
              <w:ind w:left="-63" w:leftChars="-30" w:right="-63" w:rightChars="-30"/>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三年内开放合作课题数量(包括对外开放本实验室课题及吸引高校、科研院所、相关企业等到实验室来做项目)（5分）</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项</w:t>
            </w:r>
          </w:p>
        </w:tc>
        <w:tc>
          <w:tcPr>
            <w:tcW w:w="3746" w:type="dxa"/>
            <w:tcBorders>
              <w:top w:val="nil"/>
              <w:left w:val="nil"/>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每设立1项开放课题得0.5分，累计不超过5分</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0-5</w:t>
            </w:r>
          </w:p>
        </w:tc>
      </w:tr>
      <w:tr>
        <w:tblPrEx>
          <w:tblLayout w:type="fixed"/>
          <w:tblCellMar>
            <w:top w:w="0" w:type="dxa"/>
            <w:left w:w="108" w:type="dxa"/>
            <w:bottom w:w="0" w:type="dxa"/>
            <w:right w:w="108" w:type="dxa"/>
          </w:tblCellMar>
        </w:tblPrEx>
        <w:trPr>
          <w:trHeight w:val="949" w:hRule="atLeast"/>
        </w:trPr>
        <w:tc>
          <w:tcPr>
            <w:tcW w:w="820" w:type="dxa"/>
            <w:vMerge w:val="restart"/>
            <w:tcBorders>
              <w:top w:val="single" w:color="auto" w:sz="4" w:space="0"/>
              <w:left w:val="single" w:color="auto" w:sz="4" w:space="0"/>
              <w:right w:val="single" w:color="auto" w:sz="4" w:space="0"/>
            </w:tcBorders>
            <w:vAlign w:val="center"/>
          </w:tcPr>
          <w:p>
            <w:pPr>
              <w:jc w:val="left"/>
              <w:rPr>
                <w:rFonts w:ascii="宋体" w:hAnsi="宋体" w:cs="宋体"/>
                <w:b/>
                <w:color w:val="000000" w:themeColor="text1"/>
                <w:kern w:val="0"/>
                <w:sz w:val="20"/>
                <w:szCs w:val="20"/>
                <w14:textFill>
                  <w14:solidFill>
                    <w14:schemeClr w14:val="tx1"/>
                  </w14:solidFill>
                </w14:textFill>
              </w:rPr>
            </w:pPr>
            <w:r>
              <w:rPr>
                <w:rFonts w:hint="eastAsia" w:ascii="宋体" w:hAnsi="宋体" w:cs="宋体"/>
                <w:b/>
                <w:color w:val="000000" w:themeColor="text1"/>
                <w:kern w:val="0"/>
                <w:sz w:val="20"/>
                <w:szCs w:val="20"/>
                <w14:textFill>
                  <w14:solidFill>
                    <w14:schemeClr w14:val="tx1"/>
                  </w14:solidFill>
                </w14:textFill>
              </w:rPr>
              <w:t>三 公共服务与经济效益</w:t>
            </w:r>
          </w:p>
        </w:tc>
        <w:tc>
          <w:tcPr>
            <w:tcW w:w="102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10.公共服务（20分）</w:t>
            </w:r>
          </w:p>
        </w:tc>
        <w:tc>
          <w:tcPr>
            <w:tcW w:w="2674" w:type="dxa"/>
            <w:tcBorders>
              <w:top w:val="single" w:color="auto" w:sz="4" w:space="0"/>
              <w:left w:val="single" w:color="auto" w:sz="4" w:space="0"/>
              <w:bottom w:val="single" w:color="auto" w:sz="4" w:space="0"/>
              <w:right w:val="single" w:color="auto" w:sz="4" w:space="0"/>
            </w:tcBorders>
            <w:vAlign w:val="center"/>
          </w:tcPr>
          <w:p>
            <w:pPr>
              <w:widowControl/>
              <w:ind w:left="-63" w:leftChars="-30" w:right="-63" w:rightChars="-30"/>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三年内为企业等解决技术难题与关键技术的课题数(横向课题)（10分）</w:t>
            </w:r>
          </w:p>
        </w:tc>
        <w:tc>
          <w:tcPr>
            <w:tcW w:w="42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项</w:t>
            </w:r>
          </w:p>
        </w:tc>
        <w:tc>
          <w:tcPr>
            <w:tcW w:w="3746"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每解决1项难题或关键技术课题得0.5分，累计不超过10分</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0-10</w:t>
            </w:r>
          </w:p>
        </w:tc>
      </w:tr>
      <w:tr>
        <w:tblPrEx>
          <w:tblLayout w:type="fixed"/>
          <w:tblCellMar>
            <w:top w:w="0" w:type="dxa"/>
            <w:left w:w="108" w:type="dxa"/>
            <w:bottom w:w="0" w:type="dxa"/>
            <w:right w:w="108" w:type="dxa"/>
          </w:tblCellMar>
        </w:tblPrEx>
        <w:trPr>
          <w:trHeight w:val="1184"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bottom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p>
        </w:tc>
        <w:tc>
          <w:tcPr>
            <w:tcW w:w="2674"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三年内对外提供仪器设备共享和检测服务情况（10分）</w:t>
            </w:r>
          </w:p>
        </w:tc>
        <w:tc>
          <w:tcPr>
            <w:tcW w:w="426"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批次</w:t>
            </w:r>
          </w:p>
        </w:tc>
        <w:tc>
          <w:tcPr>
            <w:tcW w:w="3746" w:type="dxa"/>
            <w:tcBorders>
              <w:top w:val="single" w:color="auto" w:sz="4" w:space="0"/>
              <w:left w:val="nil"/>
              <w:bottom w:val="single" w:color="auto" w:sz="4" w:space="0"/>
              <w:right w:val="single" w:color="auto" w:sz="4" w:space="0"/>
            </w:tcBorders>
            <w:vAlign w:val="center"/>
          </w:tcPr>
          <w:p>
            <w:pP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累计对外提供服务50批次得0.5分，累计不超过10分</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0-10</w:t>
            </w:r>
          </w:p>
        </w:tc>
      </w:tr>
      <w:tr>
        <w:tblPrEx>
          <w:tblLayout w:type="fixed"/>
          <w:tblCellMar>
            <w:top w:w="0" w:type="dxa"/>
            <w:left w:w="108" w:type="dxa"/>
            <w:bottom w:w="0" w:type="dxa"/>
            <w:right w:w="108" w:type="dxa"/>
          </w:tblCellMar>
        </w:tblPrEx>
        <w:trPr>
          <w:trHeight w:val="783"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r>
              <w:rPr>
                <w:rFonts w:hint="eastAsia" w:ascii="宋体" w:cs="宋体"/>
                <w:color w:val="000000" w:themeColor="text1"/>
                <w:kern w:val="0"/>
                <w:sz w:val="20"/>
                <w:szCs w:val="20"/>
                <w14:textFill>
                  <w14:solidFill>
                    <w14:schemeClr w14:val="tx1"/>
                  </w14:solidFill>
                </w14:textFill>
              </w:rPr>
              <w:t>1</w:t>
            </w:r>
            <w:r>
              <w:rPr>
                <w:rFonts w:hint="eastAsia" w:ascii="宋体" w:hAnsi="宋体" w:cs="宋体"/>
                <w:color w:val="000000" w:themeColor="text1"/>
                <w:kern w:val="0"/>
                <w:sz w:val="20"/>
                <w:szCs w:val="20"/>
                <w14:textFill>
                  <w14:solidFill>
                    <w14:schemeClr w14:val="tx1"/>
                  </w14:solidFill>
                </w14:textFill>
              </w:rPr>
              <w:t>1.新产品开发情况■（5分）</w:t>
            </w:r>
          </w:p>
        </w:tc>
        <w:tc>
          <w:tcPr>
            <w:tcW w:w="2674" w:type="dxa"/>
            <w:tcBorders>
              <w:top w:val="single" w:color="auto" w:sz="4" w:space="0"/>
              <w:left w:val="single" w:color="auto" w:sz="4" w:space="0"/>
              <w:right w:val="single" w:color="auto" w:sz="4" w:space="0"/>
            </w:tcBorders>
            <w:vAlign w:val="center"/>
          </w:tcPr>
          <w:p>
            <w:pPr>
              <w:widowControl/>
              <w:spacing w:line="280" w:lineRule="exact"/>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三年内开发新产品数量（5分）</w:t>
            </w:r>
          </w:p>
        </w:tc>
        <w:tc>
          <w:tcPr>
            <w:tcW w:w="426" w:type="dxa"/>
            <w:tcBorders>
              <w:top w:val="single" w:color="auto" w:sz="4" w:space="0"/>
              <w:left w:val="single" w:color="auto" w:sz="4" w:space="0"/>
              <w:right w:val="single" w:color="auto" w:sz="4" w:space="0"/>
            </w:tcBorders>
            <w:vAlign w:val="center"/>
          </w:tcPr>
          <w:p>
            <w:pPr>
              <w:widowControl/>
              <w:jc w:val="center"/>
              <w:rPr>
                <w:rFonts w:ascii="宋体" w:cs="宋体"/>
                <w:color w:val="000000" w:themeColor="text1"/>
                <w:kern w:val="0"/>
                <w:sz w:val="20"/>
                <w:szCs w:val="20"/>
                <w14:textFill>
                  <w14:solidFill>
                    <w14:schemeClr w14:val="tx1"/>
                  </w14:solidFill>
                </w14:textFill>
              </w:rPr>
            </w:pPr>
            <w:r>
              <w:rPr>
                <w:rFonts w:hint="eastAsia" w:ascii="宋体" w:cs="宋体"/>
                <w:color w:val="000000" w:themeColor="text1"/>
                <w:kern w:val="0"/>
                <w:sz w:val="20"/>
                <w:szCs w:val="20"/>
                <w14:textFill>
                  <w14:solidFill>
                    <w14:schemeClr w14:val="tx1"/>
                  </w14:solidFill>
                </w14:textFill>
              </w:rPr>
              <w:t>个</w:t>
            </w:r>
          </w:p>
        </w:tc>
        <w:tc>
          <w:tcPr>
            <w:tcW w:w="37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每开发3个新产品得1分，累计不超过5分</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0-5</w:t>
            </w:r>
          </w:p>
        </w:tc>
      </w:tr>
      <w:tr>
        <w:tblPrEx>
          <w:tblLayout w:type="fixed"/>
          <w:tblCellMar>
            <w:top w:w="0" w:type="dxa"/>
            <w:left w:w="108" w:type="dxa"/>
            <w:bottom w:w="0" w:type="dxa"/>
            <w:right w:w="108" w:type="dxa"/>
          </w:tblCellMar>
        </w:tblPrEx>
        <w:trPr>
          <w:trHeight w:val="1035"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restart"/>
            <w:tcBorders>
              <w:top w:val="single" w:color="auto" w:sz="4" w:space="0"/>
              <w:left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12.取得经济社会效益情况（15分）</w:t>
            </w:r>
          </w:p>
        </w:tc>
        <w:tc>
          <w:tcPr>
            <w:tcW w:w="267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三年内科技成果转化、转让和推广情况（含应用到临床）（5分）</w:t>
            </w:r>
          </w:p>
        </w:tc>
        <w:tc>
          <w:tcPr>
            <w:tcW w:w="42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color w:val="000000" w:themeColor="text1"/>
                <w:kern w:val="0"/>
                <w:sz w:val="20"/>
                <w:szCs w:val="20"/>
                <w14:textFill>
                  <w14:solidFill>
                    <w14:schemeClr w14:val="tx1"/>
                  </w14:solidFill>
                </w14:textFill>
              </w:rPr>
            </w:pPr>
            <w:r>
              <w:rPr>
                <w:rFonts w:hint="eastAsia" w:ascii="宋体" w:cs="宋体"/>
                <w:color w:val="000000" w:themeColor="text1"/>
                <w:kern w:val="0"/>
                <w:sz w:val="20"/>
                <w:szCs w:val="20"/>
                <w14:textFill>
                  <w14:solidFill>
                    <w14:schemeClr w14:val="tx1"/>
                  </w14:solidFill>
                </w14:textFill>
              </w:rPr>
              <w:t>项</w:t>
            </w:r>
          </w:p>
        </w:tc>
        <w:tc>
          <w:tcPr>
            <w:tcW w:w="37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每转化、转让或推广1项得0.5分，累计不超过5分</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0-5</w:t>
            </w:r>
          </w:p>
        </w:tc>
      </w:tr>
      <w:tr>
        <w:tblPrEx>
          <w:tblLayout w:type="fixed"/>
          <w:tblCellMar>
            <w:top w:w="0" w:type="dxa"/>
            <w:left w:w="108" w:type="dxa"/>
            <w:bottom w:w="0" w:type="dxa"/>
            <w:right w:w="108" w:type="dxa"/>
          </w:tblCellMar>
        </w:tblPrEx>
        <w:trPr>
          <w:trHeight w:val="732" w:hRule="atLeast"/>
        </w:trPr>
        <w:tc>
          <w:tcPr>
            <w:tcW w:w="820" w:type="dxa"/>
            <w:vMerge w:val="restart"/>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p>
        </w:tc>
        <w:tc>
          <w:tcPr>
            <w:tcW w:w="2674" w:type="dxa"/>
            <w:vMerge w:val="restart"/>
            <w:tcBorders>
              <w:top w:val="single" w:color="auto" w:sz="4" w:space="0"/>
              <w:left w:val="single" w:color="auto" w:sz="4" w:space="0"/>
              <w:right w:val="single" w:color="auto" w:sz="4" w:space="0"/>
            </w:tcBorders>
            <w:vAlign w:val="center"/>
          </w:tcPr>
          <w:p>
            <w:pPr>
              <w:spacing w:line="280" w:lineRule="exact"/>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三年内科技成果转化、转让和推广累计实现的利税（10分）</w:t>
            </w:r>
          </w:p>
        </w:tc>
        <w:tc>
          <w:tcPr>
            <w:tcW w:w="426"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14:textFill>
                  <w14:solidFill>
                    <w14:schemeClr w14:val="tx1"/>
                  </w14:solidFill>
                </w14:textFill>
              </w:rPr>
              <w:t>万元</w:t>
            </w:r>
          </w:p>
        </w:tc>
        <w:tc>
          <w:tcPr>
            <w:tcW w:w="37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利税</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效益</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≥1</w:t>
            </w:r>
            <w:r>
              <w:rPr>
                <w:rFonts w:ascii="宋体" w:hAnsi="宋体" w:cs="宋体"/>
                <w:color w:val="000000" w:themeColor="text1"/>
                <w:kern w:val="0"/>
                <w:sz w:val="20"/>
                <w:szCs w:val="20"/>
                <w14:textFill>
                  <w14:solidFill>
                    <w14:schemeClr w14:val="tx1"/>
                  </w14:solidFill>
                </w14:textFill>
              </w:rPr>
              <w:t>00</w:t>
            </w:r>
            <w:r>
              <w:rPr>
                <w:rFonts w:hint="eastAsia" w:ascii="宋体" w:hAnsi="宋体" w:cs="宋体"/>
                <w:color w:val="000000" w:themeColor="text1"/>
                <w:kern w:val="0"/>
                <w:sz w:val="20"/>
                <w:szCs w:val="20"/>
                <w14:textFill>
                  <w14:solidFill>
                    <w14:schemeClr w14:val="tx1"/>
                  </w14:solidFill>
                </w14:textFill>
              </w:rPr>
              <w:t>0万元， 每增加200万，得分增加1分；累计不超过10分</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5-10</w:t>
            </w:r>
          </w:p>
        </w:tc>
      </w:tr>
      <w:tr>
        <w:tblPrEx>
          <w:tblLayout w:type="fixed"/>
          <w:tblCellMar>
            <w:top w:w="0" w:type="dxa"/>
            <w:left w:w="108" w:type="dxa"/>
            <w:bottom w:w="0" w:type="dxa"/>
            <w:right w:w="108" w:type="dxa"/>
          </w:tblCellMar>
        </w:tblPrEx>
        <w:trPr>
          <w:trHeight w:val="506" w:hRule="atLeast"/>
        </w:trPr>
        <w:tc>
          <w:tcPr>
            <w:tcW w:w="820" w:type="dxa"/>
            <w:vMerge w:val="continue"/>
            <w:tcBorders>
              <w:left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left w:val="single" w:color="auto" w:sz="4" w:space="0"/>
              <w:right w:val="single" w:color="auto" w:sz="4" w:space="0"/>
            </w:tcBorders>
            <w:vAlign w:val="center"/>
          </w:tcPr>
          <w:p>
            <w:pPr>
              <w:widowControl/>
              <w:spacing w:line="280" w:lineRule="exact"/>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left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p>
        </w:tc>
        <w:tc>
          <w:tcPr>
            <w:tcW w:w="37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2</w:t>
            </w:r>
            <w:r>
              <w:rPr>
                <w:rFonts w:ascii="宋体" w:hAnsi="宋体" w:cs="宋体"/>
                <w:color w:val="000000" w:themeColor="text1"/>
                <w:kern w:val="0"/>
                <w:sz w:val="20"/>
                <w:szCs w:val="20"/>
                <w14:textFill>
                  <w14:solidFill>
                    <w14:schemeClr w14:val="tx1"/>
                  </w14:solidFill>
                </w14:textFill>
              </w:rPr>
              <w:t>0</w:t>
            </w:r>
            <w:r>
              <w:rPr>
                <w:rFonts w:hint="eastAsia" w:ascii="宋体" w:hAnsi="宋体" w:cs="宋体"/>
                <w:color w:val="000000" w:themeColor="text1"/>
                <w:kern w:val="0"/>
                <w:sz w:val="20"/>
                <w:szCs w:val="20"/>
                <w14:textFill>
                  <w14:solidFill>
                    <w14:schemeClr w14:val="tx1"/>
                  </w14:solidFill>
                </w14:textFill>
              </w:rPr>
              <w:t>0万元≤利税</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效益</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＜1</w:t>
            </w:r>
            <w:r>
              <w:rPr>
                <w:rFonts w:ascii="宋体" w:hAnsi="宋体" w:cs="宋体"/>
                <w:color w:val="000000" w:themeColor="text1"/>
                <w:kern w:val="0"/>
                <w:sz w:val="20"/>
                <w:szCs w:val="20"/>
                <w14:textFill>
                  <w14:solidFill>
                    <w14:schemeClr w14:val="tx1"/>
                  </w14:solidFill>
                </w14:textFill>
              </w:rPr>
              <w:t>00</w:t>
            </w:r>
            <w:r>
              <w:rPr>
                <w:rFonts w:hint="eastAsia" w:ascii="宋体" w:hAnsi="宋体" w:cs="宋体"/>
                <w:color w:val="000000" w:themeColor="text1"/>
                <w:kern w:val="0"/>
                <w:sz w:val="20"/>
                <w:szCs w:val="20"/>
                <w14:textFill>
                  <w14:solidFill>
                    <w14:schemeClr w14:val="tx1"/>
                  </w14:solidFill>
                </w14:textFill>
              </w:rPr>
              <w:t>0万元</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ascii="宋体" w:hAnsi="宋体" w:cs="宋体"/>
                <w:color w:val="000000" w:themeColor="text1"/>
                <w:kern w:val="0"/>
                <w:sz w:val="20"/>
                <w:szCs w:val="20"/>
                <w14:textFill>
                  <w14:solidFill>
                    <w14:schemeClr w14:val="tx1"/>
                  </w14:solidFill>
                </w14:textFill>
              </w:rPr>
              <w:t>1</w:t>
            </w:r>
            <w:r>
              <w:rPr>
                <w:rFonts w:hint="eastAsia" w:ascii="宋体" w:hAnsi="宋体" w:cs="宋体"/>
                <w:color w:val="000000" w:themeColor="text1"/>
                <w:kern w:val="0"/>
                <w:sz w:val="20"/>
                <w:szCs w:val="20"/>
                <w14:textFill>
                  <w14:solidFill>
                    <w14:schemeClr w14:val="tx1"/>
                  </w14:solidFill>
                </w14:textFill>
              </w:rPr>
              <w:t>-4</w:t>
            </w:r>
          </w:p>
        </w:tc>
      </w:tr>
      <w:tr>
        <w:tblPrEx>
          <w:tblLayout w:type="fixed"/>
          <w:tblCellMar>
            <w:top w:w="0" w:type="dxa"/>
            <w:left w:w="108" w:type="dxa"/>
            <w:bottom w:w="0" w:type="dxa"/>
            <w:right w:w="108" w:type="dxa"/>
          </w:tblCellMar>
        </w:tblPrEx>
        <w:trPr>
          <w:trHeight w:val="593" w:hRule="atLeast"/>
        </w:trPr>
        <w:tc>
          <w:tcPr>
            <w:tcW w:w="82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024" w:type="dxa"/>
            <w:vMerge w:val="continue"/>
            <w:tcBorders>
              <w:left w:val="single" w:color="auto" w:sz="4" w:space="0"/>
              <w:bottom w:val="single" w:color="auto" w:sz="4" w:space="0"/>
              <w:right w:val="single" w:color="auto" w:sz="4" w:space="0"/>
            </w:tcBorders>
            <w:vAlign w:val="center"/>
          </w:tcPr>
          <w:p>
            <w:pPr>
              <w:jc w:val="left"/>
              <w:rPr>
                <w:rFonts w:ascii="宋体" w:hAnsi="宋体" w:cs="宋体"/>
                <w:color w:val="000000" w:themeColor="text1"/>
                <w:kern w:val="0"/>
                <w:sz w:val="20"/>
                <w:szCs w:val="20"/>
                <w14:textFill>
                  <w14:solidFill>
                    <w14:schemeClr w14:val="tx1"/>
                  </w14:solidFill>
                </w14:textFill>
              </w:rPr>
            </w:pPr>
          </w:p>
        </w:tc>
        <w:tc>
          <w:tcPr>
            <w:tcW w:w="2674" w:type="dxa"/>
            <w:vMerge w:val="continue"/>
            <w:tcBorders>
              <w:left w:val="single" w:color="auto" w:sz="4" w:space="0"/>
              <w:bottom w:val="single" w:color="auto" w:sz="4" w:space="0"/>
              <w:right w:val="single" w:color="auto" w:sz="4" w:space="0"/>
            </w:tcBorders>
            <w:vAlign w:val="center"/>
          </w:tcPr>
          <w:p>
            <w:pPr>
              <w:widowControl/>
              <w:spacing w:line="280" w:lineRule="exact"/>
              <w:jc w:val="left"/>
              <w:rPr>
                <w:rFonts w:ascii="宋体" w:hAnsi="宋体" w:cs="宋体"/>
                <w:color w:val="000000" w:themeColor="text1"/>
                <w:kern w:val="0"/>
                <w:sz w:val="20"/>
                <w:szCs w:val="20"/>
                <w14:textFill>
                  <w14:solidFill>
                    <w14:schemeClr w14:val="tx1"/>
                  </w14:solidFill>
                </w14:textFill>
              </w:rPr>
            </w:pPr>
          </w:p>
        </w:tc>
        <w:tc>
          <w:tcPr>
            <w:tcW w:w="426"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p>
        </w:tc>
        <w:tc>
          <w:tcPr>
            <w:tcW w:w="37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利税</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效益</w:t>
            </w:r>
            <w:r>
              <w:rPr>
                <w:rFonts w:ascii="宋体" w:hAnsi="宋体" w:cs="宋体"/>
                <w:color w:val="000000" w:themeColor="text1"/>
                <w:kern w:val="0"/>
                <w:sz w:val="20"/>
                <w:szCs w:val="20"/>
                <w14:textFill>
                  <w14:solidFill>
                    <w14:schemeClr w14:val="tx1"/>
                  </w14:solidFill>
                </w14:textFill>
              </w:rPr>
              <w:t>)</w:t>
            </w:r>
            <w:r>
              <w:rPr>
                <w:rFonts w:hint="eastAsia" w:ascii="宋体" w:hAnsi="宋体" w:cs="宋体"/>
                <w:color w:val="000000" w:themeColor="text1"/>
                <w:kern w:val="0"/>
                <w:sz w:val="20"/>
                <w:szCs w:val="20"/>
                <w14:textFill>
                  <w14:solidFill>
                    <w14:schemeClr w14:val="tx1"/>
                  </w14:solidFill>
                </w14:textFill>
              </w:rPr>
              <w:t>＜200万元</w:t>
            </w:r>
          </w:p>
        </w:tc>
        <w:tc>
          <w:tcPr>
            <w:tcW w:w="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ascii="宋体" w:cs="宋体"/>
                <w:color w:val="000000" w:themeColor="text1"/>
                <w:kern w:val="0"/>
                <w:sz w:val="20"/>
                <w:szCs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trPr>
        <w:tc>
          <w:tcPr>
            <w:tcW w:w="9470" w:type="dxa"/>
            <w:gridSpan w:val="6"/>
            <w:tcBorders>
              <w:top w:val="nil"/>
              <w:left w:val="nil"/>
              <w:bottom w:val="nil"/>
              <w:right w:val="nil"/>
            </w:tcBorders>
            <w:vAlign w:val="top"/>
          </w:tcPr>
          <w:p>
            <w:pP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备注：</w:t>
            </w:r>
            <w:r>
              <w:rPr>
                <w:rFonts w:hint="eastAsia" w:ascii="宋体" w:hAnsi="宋体" w:cs="宋体"/>
                <w:color w:val="000000" w:themeColor="text1"/>
                <w:kern w:val="0"/>
                <w:szCs w:val="21"/>
                <w14:textFill>
                  <w14:solidFill>
                    <w14:schemeClr w14:val="tx1"/>
                  </w14:solidFill>
                </w14:textFill>
              </w:rPr>
              <w:t>▲</w:t>
            </w:r>
            <w:r>
              <w:rPr>
                <w:rFonts w:hint="eastAsia"/>
                <w:color w:val="000000" w:themeColor="text1"/>
                <w:szCs w:val="21"/>
                <w14:textFill>
                  <w14:solidFill>
                    <w14:schemeClr w14:val="tx1"/>
                  </w14:solidFill>
                </w14:textFill>
              </w:rPr>
              <w:t>仅针对实验室考核；</w:t>
            </w:r>
            <w:r>
              <w:rPr>
                <w:rFonts w:hint="eastAsia" w:ascii="仿宋_GB2312" w:hAnsi="仿宋" w:eastAsia="仿宋_GB2312" w:cs="宋体"/>
                <w:color w:val="000000" w:themeColor="text1"/>
                <w:kern w:val="0"/>
                <w:szCs w:val="21"/>
                <w14:textFill>
                  <w14:solidFill>
                    <w14:schemeClr w14:val="tx1"/>
                  </w14:solidFill>
                </w14:textFill>
              </w:rPr>
              <w:t>■</w:t>
            </w:r>
            <w:r>
              <w:rPr>
                <w:rFonts w:hint="eastAsia"/>
                <w:color w:val="000000" w:themeColor="text1"/>
                <w:szCs w:val="21"/>
                <w14:textFill>
                  <w14:solidFill>
                    <w14:schemeClr w14:val="tx1"/>
                  </w14:solidFill>
                </w14:textFill>
              </w:rPr>
              <w:t>仅针对工程技术研究中心考核。</w:t>
            </w:r>
          </w:p>
          <w:p>
            <w:pPr>
              <w:ind w:left="-141" w:leftChars="-67"/>
              <w:rPr>
                <w:rFonts w:ascii="Times New Roman" w:hAnsi="Times New Roman"/>
                <w:color w:val="000000" w:themeColor="text1"/>
                <w:szCs w:val="20"/>
                <w14:textFill>
                  <w14:solidFill>
                    <w14:schemeClr w14:val="tx1"/>
                  </w14:solidFill>
                </w14:textFill>
              </w:rPr>
            </w:pPr>
          </w:p>
        </w:tc>
      </w:tr>
    </w:tbl>
    <w:p>
      <w:pPr>
        <w:spacing w:line="20" w:lineRule="exact"/>
        <w:rPr>
          <w:rFonts w:ascii="Times New Roman" w:hAnsi="Times New Roman" w:eastAsia="方正仿宋简体"/>
          <w:color w:val="000000" w:themeColor="text1"/>
          <w:sz w:val="32"/>
          <w:szCs w:val="32"/>
          <w14:textFill>
            <w14:solidFill>
              <w14:schemeClr w14:val="tx1"/>
            </w14:solidFill>
          </w14:textFill>
        </w:rPr>
      </w:pPr>
    </w:p>
    <w:p>
      <w:pPr>
        <w:rPr>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
    <w:altName w:val="Segoe Print"/>
    <w:panose1 w:val="00000000000000000000"/>
    <w:charset w:val="00"/>
    <w:family w:val="auto"/>
    <w:pitch w:val="default"/>
    <w:sig w:usb0="00000000" w:usb1="00000000" w:usb2="00000000" w:usb3="00000000" w:csb0="0000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72C28"/>
    <w:rsid w:val="297E2580"/>
    <w:rsid w:val="3B1803F9"/>
    <w:rsid w:val="3E672C28"/>
    <w:rsid w:val="667D5793"/>
    <w:rsid w:val="66F6521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character" w:styleId="4">
    <w:name w:val="Strong"/>
    <w:basedOn w:val="3"/>
    <w:qFormat/>
    <w:uiPriority w:val="0"/>
    <w:rPr>
      <w:b/>
    </w:rPr>
  </w:style>
  <w:style w:type="character" w:styleId="5">
    <w:name w:val="FollowedHyperlink"/>
    <w:basedOn w:val="3"/>
    <w:qFormat/>
    <w:uiPriority w:val="0"/>
    <w:rPr>
      <w:rFonts w:hint="default" w:ascii="����" w:hAnsi="����" w:eastAsia="����" w:cs="����"/>
      <w:color w:val="000000"/>
      <w:sz w:val="21"/>
      <w:szCs w:val="21"/>
      <w:u w:val="none"/>
    </w:rPr>
  </w:style>
  <w:style w:type="character" w:styleId="6">
    <w:name w:val="Hyperlink"/>
    <w:basedOn w:val="3"/>
    <w:qFormat/>
    <w:uiPriority w:val="0"/>
    <w:rPr>
      <w:rFonts w:ascii="����" w:hAnsi="����" w:eastAsia="����" w:cs="����"/>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2018-11-26T02:08:00Z</dcterms:created>
  <dc:creator>概念化繁荣</dc:creator>
  <cp:lastModifiedBy>Administrator</cp:lastModifiedBy>
  <cp:lastPrinted>2019-05-16T01:01:00Z</cp:lastPrinted>
  <dcterms:modified xsi:type="dcterms:W3CDTF">2020-05-14T01:07:25Z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